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16DF" w:rsidTr="007016DF">
        <w:tc>
          <w:tcPr>
            <w:tcW w:w="4785" w:type="dxa"/>
          </w:tcPr>
          <w:p w:rsidR="007016DF" w:rsidRDefault="007016DF">
            <w:pPr>
              <w:pStyle w:val="ConsPlusNormal"/>
              <w:jc w:val="both"/>
              <w:outlineLvl w:val="0"/>
            </w:pPr>
          </w:p>
        </w:tc>
        <w:tc>
          <w:tcPr>
            <w:tcW w:w="4786" w:type="dxa"/>
          </w:tcPr>
          <w:p w:rsidR="007016DF" w:rsidRPr="007016DF" w:rsidRDefault="007016DF" w:rsidP="007016D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6D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16DF" w:rsidRDefault="007016DF" w:rsidP="00701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16DF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016DF" w:rsidRDefault="007016DF" w:rsidP="00701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7016DF" w:rsidRPr="007016DF" w:rsidRDefault="007016DF" w:rsidP="00701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6D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016DF" w:rsidRDefault="007016DF" w:rsidP="00C73A25">
            <w:pPr>
              <w:pStyle w:val="ConsPlusNormal"/>
              <w:jc w:val="center"/>
            </w:pPr>
            <w:r w:rsidRPr="007016D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3A25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3A2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7016DF" w:rsidRDefault="007016DF">
      <w:pPr>
        <w:pStyle w:val="ConsPlusNormal"/>
        <w:jc w:val="both"/>
        <w:outlineLvl w:val="0"/>
      </w:pPr>
    </w:p>
    <w:p w:rsidR="007016DF" w:rsidRDefault="007016DF">
      <w:pPr>
        <w:pStyle w:val="ConsPlusNormal"/>
        <w:jc w:val="both"/>
        <w:outlineLvl w:val="0"/>
      </w:pPr>
    </w:p>
    <w:p w:rsidR="007016DF" w:rsidRDefault="007016DF">
      <w:pPr>
        <w:pStyle w:val="ConsPlusNormal"/>
        <w:jc w:val="both"/>
        <w:outlineLvl w:val="0"/>
      </w:pPr>
    </w:p>
    <w:p w:rsidR="000E2DCA" w:rsidRPr="007016DF" w:rsidRDefault="000E2DCA" w:rsidP="007016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DCA" w:rsidRPr="007016DF" w:rsidRDefault="000E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016DF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C87D0D" w:rsidRDefault="00C87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0E2DCA" w:rsidRPr="007016D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E2DCA" w:rsidRPr="007016DF" w:rsidRDefault="000E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ДО 20</w:t>
      </w:r>
      <w:r w:rsidR="00C87D0D">
        <w:rPr>
          <w:rFonts w:ascii="Times New Roman" w:hAnsi="Times New Roman" w:cs="Times New Roman"/>
          <w:sz w:val="28"/>
          <w:szCs w:val="28"/>
        </w:rPr>
        <w:t>26</w:t>
      </w:r>
      <w:r w:rsidRPr="007016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2DCA" w:rsidRPr="007016DF" w:rsidRDefault="000E2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7016DF" w:rsidRDefault="000E2DCA" w:rsidP="007E63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C87D0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7016D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87D0D">
        <w:rPr>
          <w:rFonts w:ascii="Times New Roman" w:hAnsi="Times New Roman" w:cs="Times New Roman"/>
          <w:sz w:val="28"/>
          <w:szCs w:val="28"/>
        </w:rPr>
        <w:t>до 2026 года</w:t>
      </w:r>
      <w:r w:rsidRPr="007016DF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C2F3E">
        <w:rPr>
          <w:rFonts w:ascii="Times New Roman" w:hAnsi="Times New Roman" w:cs="Times New Roman"/>
          <w:sz w:val="28"/>
          <w:szCs w:val="28"/>
        </w:rPr>
        <w:t xml:space="preserve">до 2026 </w:t>
      </w:r>
      <w:r w:rsidR="00C87D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16DF">
        <w:rPr>
          <w:rFonts w:ascii="Times New Roman" w:hAnsi="Times New Roman" w:cs="Times New Roman"/>
          <w:sz w:val="28"/>
          <w:szCs w:val="28"/>
        </w:rPr>
        <w:t xml:space="preserve"> (далее - бюджетный прогноз) в соответствии с требованиями </w:t>
      </w:r>
      <w:hyperlink r:id="rId5">
        <w:r w:rsidRPr="00C87D0D">
          <w:rPr>
            <w:rFonts w:ascii="Times New Roman" w:hAnsi="Times New Roman" w:cs="Times New Roman"/>
            <w:sz w:val="28"/>
            <w:szCs w:val="28"/>
          </w:rPr>
          <w:t>статьи 170.1</w:t>
        </w:r>
      </w:hyperlink>
      <w:r w:rsidRPr="007016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65951">
        <w:rPr>
          <w:rFonts w:ascii="Times New Roman" w:hAnsi="Times New Roman" w:cs="Times New Roman"/>
          <w:sz w:val="28"/>
          <w:szCs w:val="28"/>
        </w:rPr>
        <w:t>,</w:t>
      </w:r>
      <w:r w:rsidRPr="007016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B65951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B65951" w:rsidRPr="00B65951">
        <w:rPr>
          <w:rFonts w:ascii="Times New Roman" w:hAnsi="Times New Roman" w:cs="Times New Roman"/>
          <w:sz w:val="28"/>
          <w:szCs w:val="28"/>
        </w:rPr>
        <w:t>ем</w:t>
      </w:r>
      <w:r w:rsidRPr="00B65951">
        <w:rPr>
          <w:rFonts w:ascii="Times New Roman" w:hAnsi="Times New Roman" w:cs="Times New Roman"/>
          <w:sz w:val="28"/>
          <w:szCs w:val="28"/>
        </w:rPr>
        <w:t xml:space="preserve"> </w:t>
      </w:r>
      <w:r w:rsidR="00C87D0D" w:rsidRPr="00B65951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B65951">
        <w:rPr>
          <w:rFonts w:ascii="Times New Roman" w:hAnsi="Times New Roman" w:cs="Times New Roman"/>
          <w:sz w:val="28"/>
          <w:szCs w:val="28"/>
        </w:rPr>
        <w:t xml:space="preserve"> Самарской области от 0</w:t>
      </w:r>
      <w:r w:rsidR="00C87D0D" w:rsidRPr="00B65951">
        <w:rPr>
          <w:rFonts w:ascii="Times New Roman" w:hAnsi="Times New Roman" w:cs="Times New Roman"/>
          <w:sz w:val="28"/>
          <w:szCs w:val="28"/>
        </w:rPr>
        <w:t>3</w:t>
      </w:r>
      <w:r w:rsidRPr="00B65951">
        <w:rPr>
          <w:rFonts w:ascii="Times New Roman" w:hAnsi="Times New Roman" w:cs="Times New Roman"/>
          <w:sz w:val="28"/>
          <w:szCs w:val="28"/>
        </w:rPr>
        <w:t>.0</w:t>
      </w:r>
      <w:r w:rsidR="00C87D0D" w:rsidRPr="00B65951">
        <w:rPr>
          <w:rFonts w:ascii="Times New Roman" w:hAnsi="Times New Roman" w:cs="Times New Roman"/>
          <w:sz w:val="28"/>
          <w:szCs w:val="28"/>
        </w:rPr>
        <w:t>7</w:t>
      </w:r>
      <w:r w:rsidRPr="00B65951">
        <w:rPr>
          <w:rFonts w:ascii="Times New Roman" w:hAnsi="Times New Roman" w:cs="Times New Roman"/>
          <w:sz w:val="28"/>
          <w:szCs w:val="28"/>
        </w:rPr>
        <w:t xml:space="preserve">.2015 </w:t>
      </w:r>
      <w:r w:rsidR="00C87D0D" w:rsidRPr="00B65951">
        <w:rPr>
          <w:rFonts w:ascii="Times New Roman" w:hAnsi="Times New Roman" w:cs="Times New Roman"/>
          <w:sz w:val="28"/>
          <w:szCs w:val="28"/>
        </w:rPr>
        <w:t>№</w:t>
      </w:r>
      <w:r w:rsidRPr="00B65951">
        <w:rPr>
          <w:rFonts w:ascii="Times New Roman" w:hAnsi="Times New Roman" w:cs="Times New Roman"/>
          <w:sz w:val="28"/>
          <w:szCs w:val="28"/>
        </w:rPr>
        <w:t xml:space="preserve"> </w:t>
      </w:r>
      <w:r w:rsidR="00C87D0D" w:rsidRPr="00B65951">
        <w:rPr>
          <w:rFonts w:ascii="Times New Roman" w:hAnsi="Times New Roman" w:cs="Times New Roman"/>
          <w:sz w:val="28"/>
          <w:szCs w:val="28"/>
        </w:rPr>
        <w:t>2094</w:t>
      </w:r>
      <w:r w:rsidRPr="00B65951">
        <w:rPr>
          <w:rFonts w:ascii="Times New Roman" w:hAnsi="Times New Roman" w:cs="Times New Roman"/>
          <w:sz w:val="28"/>
          <w:szCs w:val="28"/>
        </w:rPr>
        <w:t xml:space="preserve"> </w:t>
      </w:r>
      <w:r w:rsidR="00C87D0D" w:rsidRPr="00B65951">
        <w:rPr>
          <w:rFonts w:ascii="Times New Roman" w:hAnsi="Times New Roman" w:cs="Times New Roman"/>
          <w:sz w:val="28"/>
          <w:szCs w:val="28"/>
        </w:rPr>
        <w:t>«</w:t>
      </w:r>
      <w:r w:rsidRPr="00B6595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бюджетного прогноза </w:t>
      </w:r>
      <w:r w:rsidR="00C87D0D" w:rsidRPr="00B659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B65951">
        <w:rPr>
          <w:rFonts w:ascii="Times New Roman" w:hAnsi="Times New Roman" w:cs="Times New Roman"/>
          <w:sz w:val="28"/>
          <w:szCs w:val="28"/>
        </w:rPr>
        <w:t>Самарской области на долгосрочный период</w:t>
      </w:r>
      <w:r w:rsidR="00C87D0D" w:rsidRPr="00B65951">
        <w:rPr>
          <w:rFonts w:ascii="Times New Roman" w:hAnsi="Times New Roman" w:cs="Times New Roman"/>
          <w:sz w:val="28"/>
          <w:szCs w:val="28"/>
        </w:rPr>
        <w:t>»</w:t>
      </w:r>
      <w:r w:rsidRPr="00B65951">
        <w:rPr>
          <w:rFonts w:ascii="Times New Roman" w:hAnsi="Times New Roman" w:cs="Times New Roman"/>
          <w:sz w:val="28"/>
          <w:szCs w:val="28"/>
        </w:rPr>
        <w:t>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951">
        <w:rPr>
          <w:rFonts w:ascii="Times New Roman" w:hAnsi="Times New Roman" w:cs="Times New Roman"/>
          <w:sz w:val="28"/>
          <w:szCs w:val="28"/>
        </w:rPr>
        <w:t xml:space="preserve">Бюджетный прогноз разработан с учетом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07.05.2018 </w:t>
      </w:r>
      <w:hyperlink r:id="rId7">
        <w:r w:rsidR="00A973C1" w:rsidRPr="00B6595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973C1" w:rsidRPr="00B65951">
        <w:rPr>
          <w:rFonts w:ascii="Times New Roman" w:hAnsi="Times New Roman" w:cs="Times New Roman"/>
          <w:sz w:val="28"/>
          <w:szCs w:val="28"/>
        </w:rPr>
        <w:t xml:space="preserve"> «</w:t>
      </w:r>
      <w:r w:rsidRPr="00B65951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973C1" w:rsidRPr="00B65951">
        <w:rPr>
          <w:rFonts w:ascii="Times New Roman" w:hAnsi="Times New Roman" w:cs="Times New Roman"/>
          <w:sz w:val="28"/>
          <w:szCs w:val="28"/>
        </w:rPr>
        <w:t>»</w:t>
      </w:r>
      <w:r w:rsidRPr="00B65951">
        <w:rPr>
          <w:rFonts w:ascii="Times New Roman" w:hAnsi="Times New Roman" w:cs="Times New Roman"/>
          <w:sz w:val="28"/>
          <w:szCs w:val="28"/>
        </w:rPr>
        <w:t xml:space="preserve">, от 21.07.2020 </w:t>
      </w:r>
      <w:hyperlink r:id="rId8">
        <w:r w:rsidR="00A973C1" w:rsidRPr="00B65951">
          <w:rPr>
            <w:rFonts w:ascii="Times New Roman" w:hAnsi="Times New Roman" w:cs="Times New Roman"/>
            <w:sz w:val="28"/>
            <w:szCs w:val="28"/>
          </w:rPr>
          <w:t>№</w:t>
        </w:r>
        <w:r w:rsidRPr="00B65951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="00A973C1" w:rsidRPr="00B65951">
        <w:rPr>
          <w:rFonts w:ascii="Times New Roman" w:hAnsi="Times New Roman" w:cs="Times New Roman"/>
          <w:sz w:val="28"/>
          <w:szCs w:val="28"/>
        </w:rPr>
        <w:t xml:space="preserve"> «</w:t>
      </w:r>
      <w:r w:rsidRPr="00B65951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A973C1" w:rsidRPr="00B65951">
        <w:rPr>
          <w:rFonts w:ascii="Times New Roman" w:hAnsi="Times New Roman" w:cs="Times New Roman"/>
          <w:sz w:val="28"/>
          <w:szCs w:val="28"/>
        </w:rPr>
        <w:t>»</w:t>
      </w:r>
      <w:r w:rsidRPr="00B65951">
        <w:rPr>
          <w:rFonts w:ascii="Times New Roman" w:hAnsi="Times New Roman" w:cs="Times New Roman"/>
          <w:sz w:val="28"/>
          <w:szCs w:val="28"/>
        </w:rPr>
        <w:t xml:space="preserve">, </w:t>
      </w:r>
      <w:r w:rsidR="00B65951" w:rsidRPr="00B65951">
        <w:rPr>
          <w:rFonts w:ascii="Times New Roman" w:hAnsi="Times New Roman" w:cs="Times New Roman"/>
          <w:sz w:val="28"/>
          <w:szCs w:val="28"/>
        </w:rPr>
        <w:t>а также учитывает ключевые направления и комплекс мероприятий по реализации региональных составляющих национальных и федеральных проектов</w:t>
      </w:r>
      <w:r w:rsidRPr="00B65951">
        <w:rPr>
          <w:rFonts w:ascii="Times New Roman" w:hAnsi="Times New Roman" w:cs="Times New Roman"/>
          <w:sz w:val="28"/>
          <w:szCs w:val="28"/>
        </w:rPr>
        <w:t>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Основной целью бюджетного планирования является определение финансовых возможностей бюджета </w:t>
      </w:r>
      <w:r w:rsidR="0072201B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7016D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72201B">
        <w:rPr>
          <w:rFonts w:ascii="Times New Roman" w:hAnsi="Times New Roman" w:cs="Times New Roman"/>
          <w:sz w:val="28"/>
          <w:szCs w:val="28"/>
        </w:rPr>
        <w:t xml:space="preserve">(далее – бюджет) </w:t>
      </w:r>
      <w:r w:rsidRPr="007016DF">
        <w:rPr>
          <w:rFonts w:ascii="Times New Roman" w:hAnsi="Times New Roman" w:cs="Times New Roman"/>
          <w:sz w:val="28"/>
          <w:szCs w:val="28"/>
        </w:rPr>
        <w:t>для исполнения принятых и принимаемых расходных обязательств, тенденций изменения доходной и расходной частей бюджета, условий привлечения и обслуживания заимствований.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lastRenderedPageBreak/>
        <w:t xml:space="preserve">В 2020 - 2021 годах социально-экономическое развитие </w:t>
      </w:r>
      <w:r w:rsidR="0050439C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0439C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 xml:space="preserve">Самарской области проходило в условиях преодоления последствий пандемии коронавирусной инфекции COVID-19, концентрации финансовых ресурсов на приоритетных направлениях расходов, выполнения принятых социально значимых обязательств, сохранения объема </w:t>
      </w:r>
      <w:r w:rsidR="005043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6DF">
        <w:rPr>
          <w:rFonts w:ascii="Times New Roman" w:hAnsi="Times New Roman" w:cs="Times New Roman"/>
          <w:sz w:val="28"/>
          <w:szCs w:val="28"/>
        </w:rPr>
        <w:t xml:space="preserve"> долга на экономически безопасном уровне. Итоги исполнения бюджета в целом свидетельствуют о том, что благодаря взвешенным решениям удалось поддержать экономику </w:t>
      </w:r>
      <w:r w:rsidR="0050439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 xml:space="preserve"> и снизить негативные последствия пандемии.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Сценарные условия бюджетного прогноза вытекают из двух вариантов прогноза социально-экономического развития </w:t>
      </w:r>
      <w:r w:rsidR="0056242B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6242B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>Самарской области на период до 20</w:t>
      </w:r>
      <w:r w:rsidR="0056242B">
        <w:rPr>
          <w:rFonts w:ascii="Times New Roman" w:hAnsi="Times New Roman" w:cs="Times New Roman"/>
          <w:sz w:val="28"/>
          <w:szCs w:val="28"/>
        </w:rPr>
        <w:t>26</w:t>
      </w:r>
      <w:r w:rsidRPr="007016DF">
        <w:rPr>
          <w:rFonts w:ascii="Times New Roman" w:hAnsi="Times New Roman" w:cs="Times New Roman"/>
          <w:sz w:val="28"/>
          <w:szCs w:val="28"/>
        </w:rPr>
        <w:t xml:space="preserve"> года: базового и консервативного.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Оба варианта основаны на предположениях о сохранении в среднесрочной перспективе антироссийской санкционной политики и ответных экономических мер Российской Федерации, базируются на единых целях государственной социально-экономической политики.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Базовый вариант прогноза предполагает эффективное выполнение мероприятий, обеспечивающих реализацию национальных целей и задач. Консервативный вариант прогноза предполагает наличие рисков достижения целевых показателей.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По консервативному варианту прогноза в условиях сохранения рисков неустойчивого развития экономики вследствие высокой неопределенности внешнеэкономических факторов, а также с учетом консервативных оценок потребительского и инвестиционного спроса темпы экономического роста будут минимальными.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Отличия по вариантам объясняются, прежде всего: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различной степенью адаптации экономики к внешним вызовам;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lastRenderedPageBreak/>
        <w:t>различной динамикой развития отраслей и секторов экономии;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масштабностью и эффективностью предпринимаемых мер государственной политики, направленной на сбережение населения, повышение уровня и качества его жизни, обеспечение устойчивого развития экономики, улучшение институциональной среды.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В прогнозном периоде определяющее воздействие на экономику </w:t>
      </w:r>
      <w:r w:rsidR="0056242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 xml:space="preserve"> будут оказывать </w:t>
      </w:r>
      <w:r w:rsidR="0056242B">
        <w:rPr>
          <w:rFonts w:ascii="Times New Roman" w:hAnsi="Times New Roman" w:cs="Times New Roman"/>
          <w:sz w:val="28"/>
          <w:szCs w:val="28"/>
        </w:rPr>
        <w:t>те же факторы, что и в целом по региону</w:t>
      </w:r>
      <w:r w:rsidRPr="007016DF">
        <w:rPr>
          <w:rFonts w:ascii="Times New Roman" w:hAnsi="Times New Roman" w:cs="Times New Roman"/>
          <w:sz w:val="28"/>
          <w:szCs w:val="28"/>
        </w:rPr>
        <w:t>: функционирование мировой и российской экономики, конъюнктура на мировых рынках, доступность кредитных ресурсов для региональных товаропроизводителей и населения, внешнеэкономическая, фискальная, кредитно-денежная политика, демографическая ситуация, состояние рынка труда и уровень занятости, уровень благосостояния населения, динамика потребительского и инвестиционного спроса.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Динамика экономического развития </w:t>
      </w:r>
      <w:r w:rsidR="0056242B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6242B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>Самарской области по обоим вариантам прогноза рассчитана без учета возможных новых кризисных явлений в мировой и российской экономике.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Базовый вариант прогноза предполагает ускоренную адаптацию экономики к новым условиям и обеспечение в дальнейшем ее выхода на траекторию устойчивого роста. Прогноз исходит из предпосылок реализации активной долгосрочной государственной политики, направленной на структурную перестройку и модернизацию экономики, повышение ее конкурентоспособности и технологической независимости. Важнейшими факторами интенсификации экономического развития в 202</w:t>
      </w:r>
      <w:r w:rsidR="00C17D95">
        <w:rPr>
          <w:rFonts w:ascii="Times New Roman" w:hAnsi="Times New Roman" w:cs="Times New Roman"/>
          <w:sz w:val="28"/>
          <w:szCs w:val="28"/>
        </w:rPr>
        <w:t>4</w:t>
      </w:r>
      <w:r w:rsidRPr="007016DF">
        <w:rPr>
          <w:rFonts w:ascii="Times New Roman" w:hAnsi="Times New Roman" w:cs="Times New Roman"/>
          <w:sz w:val="28"/>
          <w:szCs w:val="28"/>
        </w:rPr>
        <w:t xml:space="preserve"> - 20</w:t>
      </w:r>
      <w:r w:rsidR="00C17D95">
        <w:rPr>
          <w:rFonts w:ascii="Times New Roman" w:hAnsi="Times New Roman" w:cs="Times New Roman"/>
          <w:sz w:val="28"/>
          <w:szCs w:val="28"/>
        </w:rPr>
        <w:t>26</w:t>
      </w:r>
      <w:r w:rsidRPr="007016DF">
        <w:rPr>
          <w:rFonts w:ascii="Times New Roman" w:hAnsi="Times New Roman" w:cs="Times New Roman"/>
          <w:sz w:val="28"/>
          <w:szCs w:val="28"/>
        </w:rPr>
        <w:t xml:space="preserve"> годах будут выступать положительная динамика реального сектора экономики, инвестиций в основной капитал, связанная с активизацией инвестиционных вложений в модернизацию экономики и инфраструктуры, реализацией политики импортозамещения. Одновременно ожидается умеренный рост </w:t>
      </w:r>
      <w:r w:rsidRPr="007016DF">
        <w:rPr>
          <w:rFonts w:ascii="Times New Roman" w:hAnsi="Times New Roman" w:cs="Times New Roman"/>
          <w:sz w:val="28"/>
          <w:szCs w:val="28"/>
        </w:rPr>
        <w:lastRenderedPageBreak/>
        <w:t>потребительского спроса со стороны домашних хозяйств, основанный на положительной динамике роста заработной платы и доходов населения, сохранении инфляции на достаточно низком уровне. Дополнительный импульс экономическому росту дадут увеличение производительности труда, развитие малого и среднего предпринимательства, поддержка инновационной активности, развитие приоритетных кластеров и новых сегментов экономики, стимулирование развития цифровых технологий.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Консервативный вариант прогноза предполагает относительно медленную перестройку производственно-логистических цепочек, длительный цикл выхода на импортозамещение, недостаточно высокий рост инвестиционного и потребительского спроса.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Ограничениями экономического роста </w:t>
      </w:r>
      <w:r w:rsidR="00C17D9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C17D95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>Самарской области в долгосрочной перспективе могут стать внешнеэкономическая нестабильность, недостаточные темпы роста производительности труда, высокий</w:t>
      </w:r>
      <w:r w:rsidR="00C17D95">
        <w:rPr>
          <w:rFonts w:ascii="Times New Roman" w:hAnsi="Times New Roman" w:cs="Times New Roman"/>
          <w:sz w:val="28"/>
          <w:szCs w:val="28"/>
        </w:rPr>
        <w:t xml:space="preserve"> износ основных фондов</w:t>
      </w:r>
      <w:r w:rsidRPr="007016DF">
        <w:rPr>
          <w:rFonts w:ascii="Times New Roman" w:hAnsi="Times New Roman" w:cs="Times New Roman"/>
          <w:sz w:val="28"/>
          <w:szCs w:val="28"/>
        </w:rPr>
        <w:t>, недостаточная конкурентоспособность продукции приоритетных отраслей, нехватка финансовых ресурсов, направляемых на инвестирование, в том числе бюджетных, недостаточная инновационная активность, структурные, инфраструктурные и экологические ограничения, снижение численности населения трудоспособного возраста, а также структурные диспропорции профессионально-квалификационного состава работников и др.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Бюджетный прогноз базируется на ожидаемой оценке поступлений доходов текущего года с учетом </w:t>
      </w:r>
      <w:r w:rsidR="00280F46">
        <w:rPr>
          <w:rFonts w:ascii="Times New Roman" w:hAnsi="Times New Roman" w:cs="Times New Roman"/>
          <w:sz w:val="28"/>
          <w:szCs w:val="28"/>
        </w:rPr>
        <w:t>базового</w:t>
      </w:r>
      <w:r w:rsidRPr="007016DF">
        <w:rPr>
          <w:rFonts w:ascii="Times New Roman" w:hAnsi="Times New Roman" w:cs="Times New Roman"/>
          <w:sz w:val="28"/>
          <w:szCs w:val="28"/>
        </w:rPr>
        <w:t xml:space="preserve"> варианта прогноза социально-экономического развития </w:t>
      </w:r>
      <w:r w:rsidR="00280F46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>. Прогноз расходов сформирован с учетом планируемых поступлений доходов и источников финансирования дефицита бюджета.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Основными целями и направлениями деятельности </w:t>
      </w:r>
      <w:r w:rsidR="005E7E04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7016DF">
        <w:rPr>
          <w:rFonts w:ascii="Times New Roman" w:hAnsi="Times New Roman" w:cs="Times New Roman"/>
          <w:sz w:val="28"/>
          <w:szCs w:val="28"/>
        </w:rPr>
        <w:t xml:space="preserve"> Самарской области в области налоговой политики </w:t>
      </w:r>
      <w:r w:rsidRPr="007016DF">
        <w:rPr>
          <w:rFonts w:ascii="Times New Roman" w:hAnsi="Times New Roman" w:cs="Times New Roman"/>
          <w:sz w:val="28"/>
          <w:szCs w:val="28"/>
        </w:rPr>
        <w:lastRenderedPageBreak/>
        <w:t>будут являться: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сохранение бюджетной устойчивости, увеличение доходной части бюджета, в том числе вследствие преодоления негативного влияния введенных санкций и ограничений;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поддержка инвестиционной активности бизнеса, в первую очередь, в производственной сфере, обеспечивающей увеличение налогового потенциала </w:t>
      </w:r>
      <w:r w:rsidR="005E7E04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>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поддержание уровня сбалансированности бюджетной системы </w:t>
      </w:r>
      <w:r w:rsidR="005E7E04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E7E04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>Самарской области без увеличения налоговой нагрузки на добросовестных налогоплательщиков;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продолжение работы по оценке эффективности налоговых льгот, установленных региональным законодательством, и отмене неэффективных налоговых льгот с учетом изменений, вносимых на федеральном уровне;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повышение эффективности использования имущества </w:t>
      </w:r>
      <w:r w:rsidR="005E7E04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E7E04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>Самарской области, составляющего казну, а также имущества, закрепленного на праве оперативного управления и хозяйственного ведения за организациями, с целью пополнения доходной части бюджета;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 w:rsidR="007D73F1">
        <w:rPr>
          <w:rFonts w:ascii="Times New Roman" w:hAnsi="Times New Roman" w:cs="Times New Roman"/>
          <w:sz w:val="28"/>
          <w:szCs w:val="28"/>
        </w:rPr>
        <w:t>до 2026 года</w:t>
      </w:r>
      <w:r w:rsidRPr="007016DF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7D73F1">
        <w:rPr>
          <w:rFonts w:ascii="Times New Roman" w:hAnsi="Times New Roman" w:cs="Times New Roman"/>
          <w:sz w:val="28"/>
          <w:szCs w:val="28"/>
        </w:rPr>
        <w:t>муниципальными</w:t>
      </w:r>
      <w:r w:rsidRPr="007016DF">
        <w:rPr>
          <w:rFonts w:ascii="Times New Roman" w:hAnsi="Times New Roman" w:cs="Times New Roman"/>
          <w:sz w:val="28"/>
          <w:szCs w:val="28"/>
        </w:rPr>
        <w:t xml:space="preserve"> финансами и преодоление внешних вызовов;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обеспечение бюджетной устойчивости и сбалансированности бюджета;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концентрация финансовых ресурсов на реализации национальных целей;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формирование оптимальной структуры расходов бюджета, </w:t>
      </w:r>
      <w:r w:rsidRPr="007016DF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на содействие социальному и экономическому развитию </w:t>
      </w:r>
      <w:r w:rsidR="007D73F1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>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7D73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6DF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обеспечение открытости и прозрачности бюджета и бюджетного процесса для граждан;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Реализация долговой политики региона будет основываться на следующих принципах: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F755AF">
        <w:rPr>
          <w:rFonts w:ascii="Times New Roman" w:hAnsi="Times New Roman" w:cs="Times New Roman"/>
          <w:sz w:val="28"/>
          <w:szCs w:val="28"/>
        </w:rPr>
        <w:t>муниципальным</w:t>
      </w:r>
      <w:r w:rsidRPr="007016DF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F755A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 xml:space="preserve"> и поддержание экономически безопасного уровня </w:t>
      </w:r>
      <w:r w:rsidR="00F755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6DF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F755A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F755AF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 xml:space="preserve">с учетом дополнительных ограничений, установленных соглашением между </w:t>
      </w:r>
      <w:r w:rsidR="00BD39D0"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 Самарской области</w:t>
      </w:r>
      <w:r w:rsidR="00BD39D0" w:rsidRPr="007016DF">
        <w:rPr>
          <w:rFonts w:ascii="Times New Roman" w:hAnsi="Times New Roman" w:cs="Times New Roman"/>
          <w:sz w:val="28"/>
          <w:szCs w:val="28"/>
        </w:rPr>
        <w:t xml:space="preserve"> </w:t>
      </w:r>
      <w:r w:rsidR="00BD39D0">
        <w:rPr>
          <w:rFonts w:ascii="Times New Roman" w:hAnsi="Times New Roman" w:cs="Times New Roman"/>
          <w:sz w:val="28"/>
          <w:szCs w:val="28"/>
        </w:rPr>
        <w:t xml:space="preserve"> и </w:t>
      </w:r>
      <w:r w:rsidRPr="007016DF">
        <w:rPr>
          <w:rFonts w:ascii="Times New Roman" w:hAnsi="Times New Roman" w:cs="Times New Roman"/>
          <w:sz w:val="28"/>
          <w:szCs w:val="28"/>
        </w:rPr>
        <w:t>министерством управления финансами Самарской области</w:t>
      </w:r>
      <w:r w:rsidR="00BD39D0">
        <w:rPr>
          <w:rFonts w:ascii="Times New Roman" w:hAnsi="Times New Roman" w:cs="Times New Roman"/>
          <w:sz w:val="28"/>
          <w:szCs w:val="28"/>
        </w:rPr>
        <w:t xml:space="preserve"> </w:t>
      </w:r>
      <w:r w:rsidRPr="007016DF">
        <w:rPr>
          <w:rFonts w:ascii="Times New Roman" w:hAnsi="Times New Roman" w:cs="Times New Roman"/>
          <w:sz w:val="28"/>
          <w:szCs w:val="28"/>
        </w:rPr>
        <w:t>в рамках реструктуризации бюджетных кредитов;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оптимизация структуры </w:t>
      </w:r>
      <w:r w:rsidR="009B71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6DF">
        <w:rPr>
          <w:rFonts w:ascii="Times New Roman" w:hAnsi="Times New Roman" w:cs="Times New Roman"/>
          <w:sz w:val="28"/>
          <w:szCs w:val="28"/>
        </w:rPr>
        <w:t xml:space="preserve"> долга по видам и срокам заимствований в целях минимизации стоимости его обслуживания и обеспечения равномерной долговой нагрузки, связанной с погашением долговых обязательств;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обеспечение исполнения и обслуживания долговых обязательств своевременно и в полном объеме при различных обстоятельствах, включая кризисные явления в экономике и на финансовых рынках.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Основными рисками неисполнения бюджетного прогноза </w:t>
      </w:r>
      <w:r w:rsidR="006172F3">
        <w:rPr>
          <w:rFonts w:ascii="Times New Roman" w:hAnsi="Times New Roman" w:cs="Times New Roman"/>
          <w:sz w:val="28"/>
          <w:szCs w:val="28"/>
        </w:rPr>
        <w:t xml:space="preserve">до 2026 года </w:t>
      </w:r>
      <w:r w:rsidRPr="007016DF">
        <w:rPr>
          <w:rFonts w:ascii="Times New Roman" w:hAnsi="Times New Roman" w:cs="Times New Roman"/>
          <w:sz w:val="28"/>
          <w:szCs w:val="28"/>
        </w:rPr>
        <w:t xml:space="preserve">будут являться кризисные явления в мировой и российской экономике. Наиболее неблагоприятными последствиями и рисками для бюджетной </w:t>
      </w:r>
      <w:r w:rsidRPr="007016DF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 w:rsidR="006172F3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влияние санкций и ограничений, введенных странами Евросоюза и США;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конъюнктура мировых рынков энергоносителей;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снижение цены на нефть;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превышение прогнозируемого уровня инфляции;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изменение федерального законодательства в области налогового регулирования;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изменение финансово-экономической политики предприятий в сторону уменьшения финансовых показателей производства на территории </w:t>
      </w:r>
      <w:r w:rsidR="006172F3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>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риск ликвидности, возникающий в случае отсутствия необходимых средств для полного исполнения своих обязательств в срок. В целях снижения данного риска при планировании и осуществлении заимствований учитывается необходимость сохранения </w:t>
      </w:r>
      <w:r w:rsidR="006172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6DF">
        <w:rPr>
          <w:rFonts w:ascii="Times New Roman" w:hAnsi="Times New Roman" w:cs="Times New Roman"/>
          <w:sz w:val="28"/>
          <w:szCs w:val="28"/>
        </w:rPr>
        <w:t xml:space="preserve"> долга на экономически безопасном уровне;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недостаточно активная деятельность главных распорядителей бюджетных средств как самостоятельных управленческих единиц по реализации стратегических целей </w:t>
      </w:r>
      <w:r w:rsidR="006172F3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>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ухудшение условий для заимствований;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сокращение межбюджетных трансфертов из </w:t>
      </w:r>
      <w:r w:rsidR="006172F3">
        <w:rPr>
          <w:rFonts w:ascii="Times New Roman" w:hAnsi="Times New Roman" w:cs="Times New Roman"/>
          <w:sz w:val="28"/>
          <w:szCs w:val="28"/>
        </w:rPr>
        <w:t>вышестоящих</w:t>
      </w:r>
      <w:r w:rsidRPr="007016D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172F3">
        <w:rPr>
          <w:rFonts w:ascii="Times New Roman" w:hAnsi="Times New Roman" w:cs="Times New Roman"/>
          <w:sz w:val="28"/>
          <w:szCs w:val="28"/>
        </w:rPr>
        <w:t>ов</w:t>
      </w:r>
      <w:r w:rsidRPr="007016DF">
        <w:rPr>
          <w:rFonts w:ascii="Times New Roman" w:hAnsi="Times New Roman" w:cs="Times New Roman"/>
          <w:sz w:val="28"/>
          <w:szCs w:val="28"/>
        </w:rPr>
        <w:t>;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>закрепление дополнительных полномочий.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В целях минимизации бюджетных рисков при планировании и исполнении бюджета необходимо придерживаться политики оптимизации, </w:t>
      </w:r>
      <w:r w:rsidRPr="007016DF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доходного потенциала </w:t>
      </w:r>
      <w:r w:rsidR="007E631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 xml:space="preserve">, поддержания экономически безопасного уровня </w:t>
      </w:r>
      <w:r w:rsidR="007E63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6DF">
        <w:rPr>
          <w:rFonts w:ascii="Times New Roman" w:hAnsi="Times New Roman" w:cs="Times New Roman"/>
          <w:sz w:val="28"/>
          <w:szCs w:val="28"/>
        </w:rPr>
        <w:t xml:space="preserve"> долга и сдерживания расходов.</w:t>
      </w:r>
    </w:p>
    <w:p w:rsidR="000E2DCA" w:rsidRPr="007016DF" w:rsidRDefault="000E2DCA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6DF">
        <w:rPr>
          <w:rFonts w:ascii="Times New Roman" w:hAnsi="Times New Roman" w:cs="Times New Roman"/>
          <w:sz w:val="28"/>
          <w:szCs w:val="28"/>
        </w:rPr>
        <w:t xml:space="preserve">Прогноз основных </w:t>
      </w:r>
      <w:hyperlink w:anchor="P100">
        <w:r w:rsidRPr="007E631C">
          <w:rPr>
            <w:rFonts w:ascii="Times New Roman" w:hAnsi="Times New Roman" w:cs="Times New Roman"/>
            <w:sz w:val="28"/>
            <w:szCs w:val="28"/>
          </w:rPr>
          <w:t>характеристик</w:t>
        </w:r>
      </w:hyperlink>
      <w:r w:rsidRPr="007016DF">
        <w:rPr>
          <w:rFonts w:ascii="Times New Roman" w:hAnsi="Times New Roman" w:cs="Times New Roman"/>
          <w:sz w:val="28"/>
          <w:szCs w:val="28"/>
        </w:rPr>
        <w:t xml:space="preserve"> бюджета, показатели объема муниципального долга </w:t>
      </w:r>
      <w:r w:rsidR="007E631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016DF">
        <w:rPr>
          <w:rFonts w:ascii="Times New Roman" w:hAnsi="Times New Roman" w:cs="Times New Roman"/>
          <w:sz w:val="28"/>
          <w:szCs w:val="28"/>
        </w:rPr>
        <w:t>, а также прогноз расходов на осуществление непрограммных направлений деятельности области представлены в приложении 1 к бюджетному прогнозу.</w:t>
      </w:r>
    </w:p>
    <w:p w:rsidR="000E2DCA" w:rsidRPr="007016DF" w:rsidRDefault="00C73A25" w:rsidP="007E631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2">
        <w:r w:rsidR="000E2DCA" w:rsidRPr="007E631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0E2DCA" w:rsidRPr="007016DF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7E631C">
        <w:rPr>
          <w:rFonts w:ascii="Times New Roman" w:hAnsi="Times New Roman" w:cs="Times New Roman"/>
          <w:sz w:val="28"/>
          <w:szCs w:val="28"/>
        </w:rPr>
        <w:t>муниципальных</w:t>
      </w:r>
      <w:r w:rsidR="000E2DCA" w:rsidRPr="007016D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E631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0E2DCA" w:rsidRPr="007016DF">
        <w:rPr>
          <w:rFonts w:ascii="Times New Roman" w:hAnsi="Times New Roman" w:cs="Times New Roman"/>
          <w:sz w:val="28"/>
          <w:szCs w:val="28"/>
        </w:rPr>
        <w:t xml:space="preserve"> на период их действия за счет средств бюджета представлены в приложении 2 к бюджетному прогнозу.</w:t>
      </w:r>
    </w:p>
    <w:p w:rsidR="000E2DCA" w:rsidRPr="007016DF" w:rsidRDefault="000E2DCA" w:rsidP="007E631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7016DF" w:rsidRDefault="000E2DCA" w:rsidP="007E631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Default="000E2DCA" w:rsidP="007E631C">
      <w:pPr>
        <w:pStyle w:val="ConsPlusNormal"/>
        <w:spacing w:line="360" w:lineRule="auto"/>
        <w:jc w:val="both"/>
      </w:pPr>
    </w:p>
    <w:p w:rsidR="000E2DCA" w:rsidRDefault="000E2DCA" w:rsidP="007E631C">
      <w:pPr>
        <w:pStyle w:val="ConsPlusNormal"/>
        <w:spacing w:line="360" w:lineRule="auto"/>
        <w:jc w:val="both"/>
      </w:pPr>
    </w:p>
    <w:p w:rsidR="000E2DCA" w:rsidRDefault="000E2DCA" w:rsidP="007E631C">
      <w:pPr>
        <w:pStyle w:val="ConsPlusNormal"/>
        <w:spacing w:line="360" w:lineRule="auto"/>
        <w:jc w:val="both"/>
      </w:pPr>
    </w:p>
    <w:p w:rsidR="007E631C" w:rsidRDefault="007E631C">
      <w:pPr>
        <w:pStyle w:val="ConsPlusNormal"/>
        <w:spacing w:line="360" w:lineRule="auto"/>
        <w:jc w:val="both"/>
      </w:pPr>
    </w:p>
    <w:sectPr w:rsidR="007E631C" w:rsidSect="007E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2DCA"/>
    <w:rsid w:val="000640C8"/>
    <w:rsid w:val="000E2DCA"/>
    <w:rsid w:val="00280F46"/>
    <w:rsid w:val="002B68C4"/>
    <w:rsid w:val="004F05DB"/>
    <w:rsid w:val="0050439C"/>
    <w:rsid w:val="0056242B"/>
    <w:rsid w:val="005E7E04"/>
    <w:rsid w:val="006172F3"/>
    <w:rsid w:val="007016DF"/>
    <w:rsid w:val="0072201B"/>
    <w:rsid w:val="007D73F1"/>
    <w:rsid w:val="007E631C"/>
    <w:rsid w:val="00912F1F"/>
    <w:rsid w:val="009967E6"/>
    <w:rsid w:val="009B719D"/>
    <w:rsid w:val="009C2F3E"/>
    <w:rsid w:val="00A973C1"/>
    <w:rsid w:val="00B65951"/>
    <w:rsid w:val="00B8498F"/>
    <w:rsid w:val="00BD39D0"/>
    <w:rsid w:val="00C17D95"/>
    <w:rsid w:val="00C73A25"/>
    <w:rsid w:val="00C87D0D"/>
    <w:rsid w:val="00D52054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4F628-1311-43CB-8402-67C7AD67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A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2DCA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2DCA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70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C53A87B138F9F7FF6830777A3036319F356C221302893CBA5180EF0D43EB02EA61CAE8EA510A9995481D0F36f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0C53A87B138F9F7FF6830777A3036319F3A65221202893CBA5180EF0D43EB02EA61CAE8EA510A9995481D0F36f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40C53A87B138F9F7FF682674166C3E34916C68211208DF69E857D7B05D45BE50AA3F93B9A61A069883541C0C7E193DFA30f7F" TargetMode="External"/><Relationship Id="rId5" Type="http://schemas.openxmlformats.org/officeDocument/2006/relationships/hyperlink" Target="consultantplus://offline/ref=0E40C53A87B138F9F7FF6830777A3036369A3067281602893CBA5180EF0D43EB10EA39C4E0E04900CCDA0E4800601323F905FF6B062638f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0126-C6E1-4E80-8242-40263DA9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Болесова</cp:lastModifiedBy>
  <cp:revision>19</cp:revision>
  <dcterms:created xsi:type="dcterms:W3CDTF">2023-11-08T05:31:00Z</dcterms:created>
  <dcterms:modified xsi:type="dcterms:W3CDTF">2024-01-19T10:40:00Z</dcterms:modified>
</cp:coreProperties>
</file>